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B32B" w14:textId="77777777" w:rsidR="00F4152E" w:rsidRPr="00F4152E" w:rsidRDefault="00F4152E" w:rsidP="00F4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80" w:after="80" w:line="240" w:lineRule="auto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Allegato 1</w:t>
      </w:r>
    </w:p>
    <w:p w14:paraId="123525CE" w14:textId="77777777" w:rsidR="00F4152E" w:rsidRPr="00F4152E" w:rsidRDefault="00F4152E" w:rsidP="00F4152E">
      <w:pPr>
        <w:pBdr>
          <w:left w:val="single" w:sz="36" w:space="4" w:color="FFFFFF"/>
        </w:pBdr>
        <w:shd w:val="clear" w:color="auto" w:fill="FFFFFF"/>
        <w:spacing w:before="80" w:after="80" w:line="240" w:lineRule="auto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</w:p>
    <w:p w14:paraId="1BF8179F" w14:textId="77777777" w:rsidR="00F4152E" w:rsidRPr="00F4152E" w:rsidRDefault="00F4152E" w:rsidP="00F4152E">
      <w:pPr>
        <w:pBdr>
          <w:left w:val="single" w:sz="36" w:space="4" w:color="FFFFFF"/>
        </w:pBdr>
        <w:shd w:val="clear" w:color="auto" w:fill="FFFFFF"/>
        <w:spacing w:before="80" w:after="8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La cultura della pace</w:t>
      </w:r>
    </w:p>
    <w:p w14:paraId="17AEE2B1" w14:textId="77777777" w:rsidR="00F4152E" w:rsidRPr="00F4152E" w:rsidRDefault="00F4152E" w:rsidP="00F4152E">
      <w:pPr>
        <w:pBdr>
          <w:left w:val="single" w:sz="36" w:space="4" w:color="FFFFFF"/>
        </w:pBdr>
        <w:shd w:val="clear" w:color="auto" w:fill="FFFFFF"/>
        <w:spacing w:before="80" w:after="80" w:line="240" w:lineRule="auto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</w:pP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Dal 2016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 la Regione ha 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previsto una nuova modalità di gestione ed assegnazione delle risorse dedicate alla promozione della pace, 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pari a 1,3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milioni di euro 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con un 52% di contributo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regionale. Nel triennio in questione sono stati realizzati 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69 progetti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che hanno raggiunto 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176 mila cittadini emiliano-romagnoli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, in particolare giovani e studenti. L’ambito più sostenuto da un punto di vista numerico, negli ultimi anni, è stato quello dei 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diritti umani 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e della valorizzazione delle 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diversità e della interazione tra i popoli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. </w:t>
      </w:r>
    </w:p>
    <w:p w14:paraId="2B3B4F0F" w14:textId="77777777" w:rsidR="00F4152E" w:rsidRPr="00F4152E" w:rsidRDefault="00F4152E" w:rsidP="00F4152E">
      <w:pPr>
        <w:pBdr>
          <w:left w:val="single" w:sz="36" w:space="4" w:color="FFFFFF"/>
        </w:pBdr>
        <w:shd w:val="clear" w:color="auto" w:fill="FFFFFF"/>
        <w:spacing w:before="80" w:after="80" w:line="240" w:lineRule="auto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Il sostegno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 alla 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cultura dei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diritti umani e della pace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 e 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l’educazione alla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cittadinanza globale si traducono nel supporto a esperienze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come la 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Scuola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di Pace di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Monte Sole. 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Le attività finanziabili sono concentrate 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tra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soggetti pubblici e privati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,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con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particolare attenzione alla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presenza di enti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locali. Riguardano iniziative culturali,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di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ricerca, di informazione,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cooperazione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e formazione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 con particolare attenzione al percorso individuato dall’Agenda 2030. Per aumentare la diffusione sul territorio è previsto l’utilizzo di 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tecnologie digitali. 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I progetti potranno essere di 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iniziativa regionale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, di 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patrocinio 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a eventi altrui o individuati tramite 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bando annuale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 aperto agli attori del territorio regionale.</w:t>
      </w:r>
    </w:p>
    <w:p w14:paraId="1D54B31D" w14:textId="77777777" w:rsidR="00F4152E" w:rsidRPr="00F4152E" w:rsidRDefault="00F4152E" w:rsidP="00F4152E">
      <w:pPr>
        <w:pBdr>
          <w:left w:val="single" w:sz="36" w:space="4" w:color="FFFFFF"/>
        </w:pBdr>
        <w:shd w:val="clear" w:color="auto" w:fill="FFFFFF"/>
        <w:spacing w:before="80" w:after="80" w:line="240" w:lineRule="auto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</w:p>
    <w:p w14:paraId="55683002" w14:textId="007B368F" w:rsidR="00F4152E" w:rsidRPr="00F4152E" w:rsidRDefault="00F4152E" w:rsidP="00F4152E">
      <w:pPr>
        <w:pBdr>
          <w:left w:val="single" w:sz="36" w:space="4" w:color="FFFFFF"/>
        </w:pBdr>
        <w:shd w:val="clear" w:color="auto" w:fill="FFFFFF"/>
        <w:spacing w:before="80" w:after="80" w:line="240" w:lineRule="auto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</w:pP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Risultati </w:t>
      </w:r>
      <w:r w:rsidR="00527EB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di cooperazione internazionale </w:t>
      </w:r>
      <w:r w:rsidRPr="00F4152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del triennio 2018-2020</w:t>
      </w:r>
    </w:p>
    <w:p w14:paraId="190699B7" w14:textId="77777777" w:rsidR="00F4152E" w:rsidRPr="00F4152E" w:rsidRDefault="00F4152E" w:rsidP="00F4152E">
      <w:pPr>
        <w:pBdr>
          <w:left w:val="single" w:sz="36" w:space="4" w:color="FFFFFF"/>
        </w:pBdr>
        <w:shd w:val="clear" w:color="auto" w:fill="FFFFFF"/>
        <w:spacing w:before="80" w:after="80" w:line="240" w:lineRule="auto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</w:pPr>
      <w:r w:rsidRPr="00F4152E">
        <w:rPr>
          <w:rFonts w:eastAsia="Times New Roman" w:cstheme="minorHAnsi"/>
          <w:sz w:val="24"/>
          <w:szCs w:val="24"/>
          <w:lang w:eastAsia="it-IT"/>
        </w:rPr>
        <w:t xml:space="preserve">Tra il 2018 e il 2020 sono stati complessivamente assegnati 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4.380.782 euro 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per 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141 progetti ordinari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: di questi, 19 riguardavano la 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promozione della parità di genere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 e i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l contrasto di ogni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forma di violenza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di genere</w:t>
      </w:r>
      <w:r w:rsidRPr="00F4152E">
        <w:rPr>
          <w:rFonts w:eastAsia="Times New Roman" w:cstheme="minorHAnsi"/>
          <w:sz w:val="24"/>
          <w:szCs w:val="24"/>
          <w:lang w:eastAsia="it-IT"/>
        </w:rPr>
        <w:t>. P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rincipali beneficiari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degli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interventi di cooperazione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internazionale sono stati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donne,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giovani, minori,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persone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con disabilità; si è inoltre lavorato per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rafforzare le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filiere agroalimentari e combattere la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malnutrizione. </w:t>
      </w:r>
    </w:p>
    <w:p w14:paraId="2D43C4EB" w14:textId="41C8B7DB" w:rsidR="00F4152E" w:rsidRPr="00F4152E" w:rsidRDefault="00F4152E" w:rsidP="00F4152E">
      <w:pPr>
        <w:pBdr>
          <w:left w:val="single" w:sz="36" w:space="4" w:color="FFFFFF"/>
        </w:pBdr>
        <w:shd w:val="clear" w:color="auto" w:fill="FFFFFF"/>
        <w:spacing w:before="80" w:after="80" w:line="240" w:lineRule="auto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</w:pPr>
      <w:r w:rsidRPr="00F4152E">
        <w:rPr>
          <w:rFonts w:eastAsia="Times New Roman" w:cstheme="minorHAnsi"/>
          <w:sz w:val="24"/>
          <w:szCs w:val="24"/>
          <w:lang w:eastAsia="it-IT"/>
        </w:rPr>
        <w:t xml:space="preserve">Sono poi stati realizzati </w:t>
      </w:r>
      <w:proofErr w:type="gramStart"/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6</w:t>
      </w:r>
      <w:proofErr w:type="gramEnd"/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progetti strategici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 in Brasile, dove si è lavorato sulla gestione dei servizi, in Camerun, dove si è investito in promozione professionale, poi ancora in Mozambico, Etiopia, Tunisia e Marocco, Bielorussia. Il livello qualitativo dei partenariati è stato ovunque alzato, portando alla sottoscrizione di accordi. 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8 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sono stati infine i </w:t>
      </w:r>
      <w:r w:rsidRPr="00F4152E">
        <w:rPr>
          <w:rFonts w:eastAsia="Times New Roman" w:cstheme="minorHAnsi"/>
          <w:b/>
          <w:bCs/>
          <w:sz w:val="24"/>
          <w:szCs w:val="24"/>
          <w:lang w:eastAsia="it-IT"/>
        </w:rPr>
        <w:t>progetti di emergenza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 in Niger, campi profughi Saharawi, Haiti, Somalia, Mozambico e Myanmar: in questo caso si è fornito sostegno in 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situazioni</w:t>
      </w:r>
      <w:r w:rsidRPr="00F4152E">
        <w:rPr>
          <w:rFonts w:eastAsia="Times New Roman" w:cstheme="minorHAnsi"/>
          <w:sz w:val="24"/>
          <w:szCs w:val="24"/>
          <w:lang w:eastAsia="it-IT"/>
        </w:rPr>
        <w:t xml:space="preserve"> caratterizzate da scenari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di post-conflitto,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fenomeni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climatici avversi,</w:t>
      </w:r>
      <w:r w:rsidRPr="00F4152E">
        <w:rPr>
          <w:rFonts w:eastAsia="Times New Roman" w:cstheme="minorHAnsi"/>
          <w:sz w:val="24"/>
          <w:szCs w:val="24"/>
          <w:lang w:eastAsia="it-IT"/>
        </w:rPr>
        <w:t> </w:t>
      </w:r>
      <w:r w:rsidRPr="00F4152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crisi umanitarie.</w:t>
      </w:r>
      <w:r w:rsidR="004B675C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/CC</w:t>
      </w:r>
    </w:p>
    <w:p w14:paraId="257556F3" w14:textId="77777777" w:rsidR="00DC679C" w:rsidRDefault="00527EBF"/>
    <w:sectPr w:rsidR="00DC6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2E"/>
    <w:rsid w:val="000E7C2C"/>
    <w:rsid w:val="001C1CD1"/>
    <w:rsid w:val="00423AD3"/>
    <w:rsid w:val="004B675C"/>
    <w:rsid w:val="00527EBF"/>
    <w:rsid w:val="006C1ECF"/>
    <w:rsid w:val="008F53B3"/>
    <w:rsid w:val="00D003A3"/>
    <w:rsid w:val="00F4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7F21"/>
  <w15:chartTrackingRefBased/>
  <w15:docId w15:val="{6BF52DFC-8F49-4236-A963-52E4629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 Carmine</dc:creator>
  <cp:keywords/>
  <dc:description/>
  <cp:lastModifiedBy>Caputo Carmine</cp:lastModifiedBy>
  <cp:revision>3</cp:revision>
  <dcterms:created xsi:type="dcterms:W3CDTF">2022-01-20T15:25:00Z</dcterms:created>
  <dcterms:modified xsi:type="dcterms:W3CDTF">2022-01-20T15:49:00Z</dcterms:modified>
</cp:coreProperties>
</file>